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УТВЕРЖД</w:t>
      </w:r>
      <w:r>
        <w:rPr>
          <w:color w:val="000000"/>
          <w:sz w:val="28"/>
          <w:szCs w:val="28"/>
        </w:rPr>
        <w:t xml:space="preserve">ЕН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06"/>
        <w:ind w:left="1020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министра цифрового развития Смоленской области </w:t>
      </w:r>
      <w:r>
        <w:rPr>
          <w:sz w:val="28"/>
          <w:szCs w:val="28"/>
        </w:rPr>
      </w:r>
    </w:p>
    <w:p>
      <w:pPr>
        <w:pStyle w:val="706"/>
        <w:ind w:left="1020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__________________ № ___</w:t>
      </w:r>
      <w:r>
        <w:rPr>
          <w:color w:val="000000"/>
          <w:sz w:val="28"/>
          <w:szCs w:val="28"/>
        </w:rPr>
      </w:r>
    </w:p>
    <w:p>
      <w:pPr>
        <w:pStyle w:val="706"/>
        <w:ind w:firstLine="720"/>
        <w:jc w:val="center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706"/>
        <w:ind w:firstLine="720"/>
        <w:jc w:val="center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</w:t>
      </w:r>
      <w:r>
        <w:rPr>
          <w:b/>
          <w:bCs/>
          <w:color w:val="000000"/>
          <w:sz w:val="28"/>
          <w:szCs w:val="28"/>
        </w:rPr>
        <w:t xml:space="preserve">ЛАН </w:t>
      </w:r>
      <w:r>
        <w:rPr>
          <w:b/>
          <w:bCs/>
          <w:color w:val="000000"/>
          <w:sz w:val="28"/>
          <w:szCs w:val="28"/>
        </w:rPr>
      </w:r>
    </w:p>
    <w:p>
      <w:pPr>
        <w:pStyle w:val="706"/>
        <w:ind w:firstLine="720"/>
        <w:jc w:val="center"/>
        <w:shd w:val="clear" w:color="auto" w:fill="ffffff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противодействию коррупции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Министерстве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цифрового развития </w:t>
        <w:br/>
      </w:r>
      <w:r>
        <w:rPr>
          <w:b/>
          <w:sz w:val="28"/>
          <w:szCs w:val="28"/>
        </w:rPr>
        <w:t xml:space="preserve">Смоленской области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bCs/>
          <w:color w:val="000000"/>
          <w:sz w:val="28"/>
          <w:szCs w:val="28"/>
        </w:rPr>
        <w:t xml:space="preserve">на 2025-2028 годы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06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tbl>
      <w:tblPr>
        <w:tblW w:w="51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75"/>
        <w:gridCol w:w="8364"/>
        <w:gridCol w:w="3826"/>
        <w:gridCol w:w="22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bottom w:val="single" w:color="000000" w:sz="4" w:space="0"/>
            </w:tcBorders>
            <w:tcW w:w="223" w:type="pct"/>
            <w:vAlign w:val="center"/>
            <w:textDirection w:val="lrTb"/>
            <w:noWrap w:val="false"/>
          </w:tcPr>
          <w:p>
            <w:pPr>
              <w:pStyle w:val="712"/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763" w:type="pct"/>
            <w:vAlign w:val="center"/>
            <w:textDirection w:val="lrTb"/>
            <w:noWrap w:val="false"/>
          </w:tcPr>
          <w:p>
            <w:pPr>
              <w:pStyle w:val="712"/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264" w:type="pct"/>
            <w:vAlign w:val="center"/>
            <w:textDirection w:val="lrTb"/>
            <w:noWrap w:val="false"/>
          </w:tcPr>
          <w:p>
            <w:pPr>
              <w:pStyle w:val="712"/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исполнитель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750" w:type="pct"/>
            <w:vAlign w:val="center"/>
            <w:textDirection w:val="lrTb"/>
            <w:noWrap w:val="false"/>
          </w:tcPr>
          <w:p>
            <w:pPr>
              <w:pStyle w:val="712"/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  <w:outlineLvl w:val="1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 исполнения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5000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6"/>
              </w:numPr>
              <w:jc w:val="center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Реализация организационно-правовых мер по противодействию коррупции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7"/>
              </w:numPr>
              <w:ind w:left="734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63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Министерством цифрового развития Смоленской области (далее – Министерство)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противодействию коррупции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64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финансового и кадрового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50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7"/>
              </w:numPr>
              <w:ind w:left="734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63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жалоб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наличия информации о фактах коррупции со стороны государственных гражданских служащих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организаций, подведомственных Министерству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осуществления профилактических мер в сфере противодействия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64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финансового и кадрового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50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поступления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7"/>
              </w:numPr>
              <w:ind w:left="734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63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своевременного ознакомления государственных гражданских служащих Смоленской области с изменениями законодательства Российской Федерации и законодательства Смоленской области о противодействии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64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финансового и кадрового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50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7"/>
              </w:numPr>
              <w:ind w:left="734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63" w:type="pct"/>
            <w:vAlign w:val="top"/>
            <w:textDirection w:val="lrTb"/>
            <w:noWrap w:val="false"/>
          </w:tcPr>
          <w:p>
            <w:pPr>
              <w:pStyle w:val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исполнением план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мероприятий </w:t>
            </w:r>
            <w:r>
              <w:rPr>
                <w:sz w:val="28"/>
                <w:szCs w:val="28"/>
              </w:rPr>
              <w:t xml:space="preserve">по противодействию коррупции </w:t>
            </w:r>
            <w:r>
              <w:rPr>
                <w:sz w:val="28"/>
                <w:szCs w:val="28"/>
              </w:rPr>
            </w:r>
          </w:p>
        </w:tc>
        <w:tc>
          <w:tcPr>
            <w:tcW w:w="1264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50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gridSpan w:val="3"/>
            <w:tcW w:w="4777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6"/>
              </w:numPr>
              <w:jc w:val="center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Разработка и внедрение антикоррупционных механизмов в рамках кадровой политики,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712"/>
              <w:ind w:left="1080" w:firstLine="0"/>
              <w:jc w:val="center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реализуемой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7"/>
              </w:numPr>
              <w:ind w:left="734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63" w:type="pct"/>
            <w:vAlign w:val="top"/>
            <w:textDirection w:val="lrTb"/>
            <w:noWrap w:val="false"/>
          </w:tcPr>
          <w:p>
            <w:pPr>
              <w:pStyle w:val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приема сведений о доходах, расходах, об имуществе и обязательствах имущественного характера, представляемых гражданскими служащими</w:t>
            </w:r>
            <w:r>
              <w:rPr>
                <w:sz w:val="28"/>
                <w:szCs w:val="28"/>
              </w:rPr>
              <w:t xml:space="preserve"> Министерства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64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финансового и кадрового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50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30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7"/>
              </w:numPr>
              <w:ind w:left="734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63" w:type="pct"/>
            <w:vAlign w:val="top"/>
            <w:textDirection w:val="lrTb"/>
            <w:noWrap w:val="false"/>
          </w:tcPr>
          <w:p>
            <w:pPr>
              <w:pStyle w:val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проверок достоверности и полноты </w:t>
            </w:r>
            <w:r>
              <w:rPr>
                <w:sz w:val="28"/>
                <w:szCs w:val="28"/>
              </w:rPr>
              <w:t xml:space="preserve">сведений о доходах, расходах, об имуществе и обязательствах имущественного характера</w:t>
            </w:r>
            <w:r>
              <w:rPr>
                <w:sz w:val="28"/>
                <w:szCs w:val="28"/>
              </w:rPr>
              <w:t xml:space="preserve">, представляемых гражданами, претендующими </w:t>
            </w:r>
            <w:r>
              <w:rPr>
                <w:sz w:val="28"/>
                <w:szCs w:val="28"/>
              </w:rPr>
              <w:t xml:space="preserve">на замещение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вакантных должностей государственной гражданской службы Смоленской области в</w:t>
            </w:r>
            <w:r>
              <w:rPr>
                <w:sz w:val="28"/>
                <w:szCs w:val="28"/>
              </w:rPr>
              <w:t xml:space="preserve"> Министерстве,</w:t>
            </w:r>
            <w:r>
              <w:rPr>
                <w:sz w:val="28"/>
                <w:szCs w:val="28"/>
              </w:rPr>
              <w:t xml:space="preserve"> и государственными гражданскими служащими </w:t>
            </w:r>
            <w:r>
              <w:rPr>
                <w:sz w:val="28"/>
                <w:szCs w:val="28"/>
              </w:rPr>
              <w:t xml:space="preserve">Министерства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64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финансового и кадрового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50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7"/>
              </w:numPr>
              <w:ind w:left="734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63" w:type="pct"/>
            <w:vAlign w:val="top"/>
            <w:textDirection w:val="lrTb"/>
            <w:noWrap w:val="false"/>
          </w:tcPr>
          <w:p>
            <w:pPr>
              <w:pStyle w:val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сведений о доходах, расходах, об имуществе и обязательствах имущественного характера, представляемых гражданскими служащими </w:t>
            </w:r>
            <w:r>
              <w:rPr>
                <w:sz w:val="28"/>
                <w:szCs w:val="28"/>
              </w:rPr>
              <w:t xml:space="preserve">Министерства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64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финансового и кадрового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50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7"/>
              </w:numPr>
              <w:ind w:left="734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63" w:type="pct"/>
            <w:vAlign w:val="top"/>
            <w:textDirection w:val="lrTb"/>
            <w:noWrap w:val="false"/>
          </w:tcPr>
          <w:p>
            <w:pPr>
              <w:pStyle w:val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на официальном сайте </w:t>
            </w:r>
            <w:r>
              <w:rPr>
                <w:sz w:val="28"/>
                <w:szCs w:val="28"/>
              </w:rPr>
              <w:t xml:space="preserve">Министерства в информационно-телекоммуникационной сети «Интернет» </w:t>
            </w:r>
            <w:r>
              <w:rPr>
                <w:sz w:val="28"/>
                <w:szCs w:val="28"/>
              </w:rPr>
              <w:t xml:space="preserve">сведений о доходах, расходах, об имуществе и обязательствах имущественного характера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государственны</w:t>
            </w:r>
            <w:r>
              <w:rPr>
                <w:sz w:val="28"/>
                <w:szCs w:val="28"/>
              </w:rPr>
              <w:t xml:space="preserve">х</w:t>
            </w:r>
            <w:r>
              <w:rPr>
                <w:sz w:val="28"/>
                <w:szCs w:val="28"/>
              </w:rPr>
              <w:t xml:space="preserve"> граждански</w:t>
            </w:r>
            <w:r>
              <w:rPr>
                <w:sz w:val="28"/>
                <w:szCs w:val="28"/>
              </w:rPr>
              <w:t xml:space="preserve">х</w:t>
            </w:r>
            <w:r>
              <w:rPr>
                <w:sz w:val="28"/>
                <w:szCs w:val="28"/>
              </w:rPr>
              <w:t xml:space="preserve"> служащи</w:t>
            </w:r>
            <w:r>
              <w:rPr>
                <w:sz w:val="28"/>
                <w:szCs w:val="28"/>
              </w:rPr>
              <w:t xml:space="preserve">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Министерства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64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тдел развития инфраструктуры электронного правительства;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финансового и кадрового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50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жегодно, в течение 14 рабочих дней со дня истечения срока, установленного для представления указанных сведений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7"/>
              </w:numPr>
              <w:ind w:left="734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63" w:type="pct"/>
            <w:vAlign w:val="top"/>
            <w:textDirection w:val="lrTb"/>
            <w:noWrap w:val="false"/>
          </w:tcPr>
          <w:p>
            <w:pPr>
              <w:pStyle w:val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деятельности комиссий по соблюдению требований к служебному поведению государственных гражданских служащих </w:t>
            </w:r>
            <w:r>
              <w:rPr>
                <w:sz w:val="28"/>
                <w:szCs w:val="28"/>
              </w:rPr>
              <w:t xml:space="preserve">Министерства</w:t>
            </w:r>
            <w:r>
              <w:rPr>
                <w:sz w:val="28"/>
                <w:szCs w:val="28"/>
              </w:rPr>
              <w:t xml:space="preserve"> и урегулированию конфликта интересов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64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финансового и кадрового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50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7"/>
              </w:numPr>
              <w:ind w:left="734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63" w:type="pct"/>
            <w:vAlign w:val="top"/>
            <w:textDirection w:val="lrTb"/>
            <w:noWrap w:val="false"/>
          </w:tcPr>
          <w:p>
            <w:pPr>
              <w:pStyle w:val="706"/>
              <w:ind w:firstLine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беспечение</w:t>
            </w:r>
            <w:r>
              <w:rPr>
                <w:sz w:val="28"/>
                <w:szCs w:val="28"/>
              </w:rPr>
              <w:t xml:space="preserve"> контроля </w:t>
            </w:r>
            <w:r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 xml:space="preserve">исполнени</w:t>
            </w:r>
            <w:r>
              <w:rPr>
                <w:sz w:val="28"/>
                <w:szCs w:val="28"/>
              </w:rPr>
              <w:t xml:space="preserve">ем</w:t>
            </w:r>
            <w:r>
              <w:rPr>
                <w:sz w:val="28"/>
                <w:szCs w:val="28"/>
              </w:rPr>
              <w:t xml:space="preserve"> государственными гражданскими служащими </w:t>
            </w:r>
            <w:r>
              <w:rPr>
                <w:sz w:val="28"/>
                <w:szCs w:val="28"/>
              </w:rPr>
              <w:t xml:space="preserve">Смоленской области </w:t>
            </w:r>
            <w:r>
              <w:rPr>
                <w:sz w:val="28"/>
                <w:szCs w:val="28"/>
              </w:rPr>
              <w:t xml:space="preserve">обязанности уведомл</w:t>
            </w:r>
            <w:r>
              <w:rPr>
                <w:sz w:val="28"/>
                <w:szCs w:val="28"/>
              </w:rPr>
              <w:t xml:space="preserve">ять</w:t>
            </w:r>
            <w:r>
              <w:rPr>
                <w:sz w:val="28"/>
                <w:szCs w:val="28"/>
              </w:rPr>
              <w:t xml:space="preserve"> представителя нанимателя о выполнении иной оплачиваемой работы </w:t>
            </w:r>
            <w:r>
              <w:rPr>
                <w:sz w:val="28"/>
                <w:szCs w:val="28"/>
              </w:rPr>
            </w:r>
          </w:p>
        </w:tc>
        <w:tc>
          <w:tcPr>
            <w:tcW w:w="1264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финансового и кадрового обеспечения;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развития цифровых сервисов и услуг;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цифровой трансформации и финансового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связи и телекоммуникационной инфраструктуры;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защиты информации;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совершенствова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государственного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50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5000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6"/>
              </w:numPr>
              <w:jc w:val="center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Разработка механизмов, способствующих совершенствованию организации деятельности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сфере противодействия коррупции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7"/>
              </w:numPr>
              <w:ind w:left="734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63" w:type="pct"/>
            <w:vAlign w:val="top"/>
            <w:textDirection w:val="lrTb"/>
            <w:noWrap w:val="false"/>
          </w:tcPr>
          <w:p>
            <w:pPr>
              <w:pStyle w:val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системы предоставления государственных услуг по принципу «одного окна» на территории Смоленской области</w:t>
            </w:r>
            <w:r>
              <w:rPr>
                <w:sz w:val="28"/>
                <w:szCs w:val="28"/>
              </w:rPr>
            </w:r>
          </w:p>
        </w:tc>
        <w:tc>
          <w:tcPr>
            <w:tcW w:w="1264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совершенствования государственного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50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7"/>
              </w:numPr>
              <w:ind w:left="734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63" w:type="pct"/>
            <w:vAlign w:val="top"/>
            <w:textDirection w:val="lrTb"/>
            <w:noWrap w:val="false"/>
          </w:tcPr>
          <w:p>
            <w:pPr>
              <w:pStyle w:val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обеспечения предоставления государственных и муниципальных услуг в электронном виде</w:t>
            </w:r>
            <w:r>
              <w:rPr>
                <w:sz w:val="28"/>
                <w:szCs w:val="28"/>
              </w:rPr>
              <w:t xml:space="preserve"> (д</w:t>
            </w:r>
            <w:r>
              <w:rPr>
                <w:sz w:val="28"/>
                <w:szCs w:val="28"/>
              </w:rPr>
              <w:t xml:space="preserve">оля обращений за получением массовых социально значимых государственных и муниципальных услуг в электронном виде с использованием ЕПГУ и (или) РПГУ в общем количестве обращений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64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тдел развития инфраструктуры электронного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50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7"/>
              </w:numPr>
              <w:ind w:left="734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63" w:type="pct"/>
            <w:vAlign w:val="top"/>
            <w:textDirection w:val="lrTb"/>
            <w:noWrap w:val="false"/>
          </w:tcPr>
          <w:p>
            <w:pPr>
              <w:pStyle w:val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доступа граждан к официальной информации о деятельности </w:t>
            </w:r>
            <w:r>
              <w:rPr>
                <w:sz w:val="28"/>
                <w:szCs w:val="28"/>
              </w:rPr>
              <w:t xml:space="preserve">Министерства</w:t>
            </w:r>
            <w:r>
              <w:rPr>
                <w:sz w:val="28"/>
                <w:szCs w:val="28"/>
              </w:rPr>
              <w:t xml:space="preserve"> посредством</w:t>
            </w:r>
            <w:r>
              <w:rPr>
                <w:sz w:val="28"/>
                <w:szCs w:val="28"/>
              </w:rPr>
              <w:t xml:space="preserve"> создания и</w:t>
            </w:r>
            <w:r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 xml:space="preserve">оддержки </w:t>
            </w:r>
            <w:r>
              <w:rPr>
                <w:sz w:val="28"/>
                <w:szCs w:val="28"/>
              </w:rPr>
              <w:t xml:space="preserve">сайт</w:t>
            </w:r>
            <w:r>
              <w:rPr>
                <w:sz w:val="28"/>
                <w:szCs w:val="28"/>
              </w:rPr>
              <w:t xml:space="preserve">ов Министерства</w:t>
            </w:r>
            <w:r>
              <w:rPr>
                <w:sz w:val="28"/>
                <w:szCs w:val="28"/>
              </w:rPr>
              <w:t xml:space="preserve"> в информационно-телекоммуникационной сети «Интернет»</w:t>
            </w:r>
            <w:r>
              <w:rPr>
                <w:sz w:val="28"/>
                <w:szCs w:val="28"/>
              </w:rPr>
              <w:t xml:space="preserve">, р</w:t>
            </w:r>
            <w:r>
              <w:rPr>
                <w:sz w:val="28"/>
                <w:szCs w:val="28"/>
              </w:rPr>
              <w:t xml:space="preserve">азмещение информации об антикоррупционной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64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тдел развития инфраструктуры электронного правительства;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финансового и кадрового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50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7"/>
              </w:numPr>
              <w:ind w:left="734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63" w:type="pct"/>
            <w:vAlign w:val="top"/>
            <w:textDirection w:val="lrTb"/>
            <w:noWrap w:val="false"/>
          </w:tcPr>
          <w:p>
            <w:pPr>
              <w:pStyle w:val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разработанных Министерством проектов областных нормативных правовых актов на </w:t>
            </w:r>
            <w:r>
              <w:rPr>
                <w:sz w:val="28"/>
                <w:szCs w:val="28"/>
              </w:rPr>
              <w:t xml:space="preserve">официальном сайте </w:t>
            </w:r>
            <w:r>
              <w:rPr>
                <w:sz w:val="28"/>
                <w:szCs w:val="28"/>
              </w:rPr>
              <w:t xml:space="preserve">Министерства</w:t>
            </w:r>
            <w:r>
              <w:rPr>
                <w:sz w:val="28"/>
                <w:szCs w:val="28"/>
              </w:rPr>
              <w:t xml:space="preserve"> в информационно-телекоммуникационной сети «Интернет»</w:t>
            </w:r>
            <w:r>
              <w:rPr>
                <w:sz w:val="28"/>
                <w:szCs w:val="28"/>
              </w:rPr>
              <w:t xml:space="preserve"> в целях обеспечения возможности проведения их независимой антикоррупционной экспертизы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64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финансового и кадрового обеспечения;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цифровой трансформации и финансового обеспечения;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развития цифровых сервисов и услуг;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связи и телекоммуникационной инфраструктуры;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защиты информации;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совершенствования государственного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50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5000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6"/>
              </w:numPr>
              <w:jc w:val="center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у государственных гражданских служащих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граждан нетерпимого отношения к коррупционным проявлениям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7"/>
              </w:numPr>
              <w:ind w:left="734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63" w:type="pct"/>
            <w:vAlign w:val="top"/>
            <w:textDirection w:val="lrTb"/>
            <w:noWrap w:val="false"/>
          </w:tcPr>
          <w:p>
            <w:pPr>
              <w:pStyle w:val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</w:t>
            </w:r>
            <w:r>
              <w:rPr>
                <w:sz w:val="28"/>
                <w:szCs w:val="28"/>
              </w:rPr>
              <w:t xml:space="preserve"> семинар</w:t>
            </w:r>
            <w:r>
              <w:rPr>
                <w:sz w:val="28"/>
                <w:szCs w:val="28"/>
              </w:rPr>
              <w:t xml:space="preserve">ах</w:t>
            </w:r>
            <w:r>
              <w:rPr>
                <w:sz w:val="28"/>
                <w:szCs w:val="28"/>
              </w:rPr>
              <w:t xml:space="preserve">, «круглых стол</w:t>
            </w:r>
            <w:r>
              <w:rPr>
                <w:sz w:val="28"/>
                <w:szCs w:val="28"/>
              </w:rPr>
              <w:t xml:space="preserve">ах</w:t>
            </w:r>
            <w:r>
              <w:rPr>
                <w:sz w:val="28"/>
                <w:szCs w:val="28"/>
              </w:rPr>
              <w:t xml:space="preserve">», совещани</w:t>
            </w:r>
            <w:r>
              <w:rPr>
                <w:sz w:val="28"/>
                <w:szCs w:val="28"/>
              </w:rPr>
              <w:t xml:space="preserve">ях</w:t>
            </w:r>
            <w:r>
              <w:rPr>
                <w:sz w:val="28"/>
                <w:szCs w:val="28"/>
              </w:rPr>
              <w:t xml:space="preserve">, конференци</w:t>
            </w:r>
            <w:r>
              <w:rPr>
                <w:sz w:val="28"/>
                <w:szCs w:val="28"/>
              </w:rPr>
              <w:t xml:space="preserve">ях</w:t>
            </w:r>
            <w:r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актуальным </w:t>
            </w:r>
            <w:r>
              <w:rPr>
                <w:sz w:val="28"/>
                <w:szCs w:val="28"/>
              </w:rPr>
              <w:t xml:space="preserve">вопросам</w:t>
            </w:r>
            <w:r>
              <w:rPr>
                <w:sz w:val="28"/>
                <w:szCs w:val="28"/>
              </w:rPr>
              <w:t xml:space="preserve"> применения законодательства о</w:t>
            </w:r>
            <w:r>
              <w:rPr>
                <w:sz w:val="28"/>
                <w:szCs w:val="28"/>
              </w:rPr>
              <w:t xml:space="preserve"> противодей</w:t>
            </w:r>
            <w:r>
              <w:rPr>
                <w:sz w:val="28"/>
                <w:szCs w:val="28"/>
              </w:rPr>
              <w:t xml:space="preserve">ствии</w:t>
            </w:r>
            <w:r>
              <w:rPr>
                <w:sz w:val="28"/>
                <w:szCs w:val="28"/>
              </w:rPr>
              <w:t xml:space="preserve"> коррупции </w:t>
            </w:r>
            <w:r>
              <w:rPr>
                <w:sz w:val="28"/>
                <w:szCs w:val="28"/>
              </w:rPr>
            </w:r>
          </w:p>
        </w:tc>
        <w:tc>
          <w:tcPr>
            <w:tcW w:w="1264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финансового и кадрового обеспечения;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цифровой трансформации и финансового обеспечения;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развития цифровых сервисов и услуг;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связи и телекоммуникационной инфраструктуры;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защиты информации;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совершенствования государственного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50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rPr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проведения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7"/>
              </w:numPr>
              <w:ind w:left="734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63" w:type="pct"/>
            <w:vAlign w:val="top"/>
            <w:textDirection w:val="lrTb"/>
            <w:noWrap w:val="false"/>
          </w:tcPr>
          <w:p>
            <w:pPr>
              <w:pStyle w:val="706"/>
              <w:ind w:firstLine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комплекса организационных, разъяснительных и иных мер по соблюдению государственными гражданскими служащими </w:t>
            </w:r>
            <w:r>
              <w:rPr>
                <w:sz w:val="28"/>
                <w:szCs w:val="28"/>
              </w:rPr>
              <w:t xml:space="preserve">Министерства </w:t>
            </w:r>
            <w:r>
              <w:rPr>
                <w:sz w:val="28"/>
                <w:szCs w:val="28"/>
              </w:rPr>
              <w:t xml:space="preserve">ограничений, касающихся получения подарков, в том числе направленных на формирование негативного отношения к дарению подарков указанным служащим в связи с исполнением ими служебных обязанностей  </w:t>
            </w:r>
            <w:r>
              <w:rPr>
                <w:sz w:val="28"/>
                <w:szCs w:val="28"/>
              </w:rPr>
            </w:r>
          </w:p>
        </w:tc>
        <w:tc>
          <w:tcPr>
            <w:tcW w:w="1264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финансового и кадрового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50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7"/>
              </w:numPr>
              <w:ind w:left="734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63" w:type="pct"/>
            <w:vAlign w:val="top"/>
            <w:textDirection w:val="lrTb"/>
            <w:noWrap w:val="false"/>
          </w:tcPr>
          <w:p>
            <w:pPr>
              <w:pStyle w:val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государственных гражданских служащих Смоленской области, ответственных </w:t>
            </w:r>
            <w:r>
              <w:rPr>
                <w:sz w:val="28"/>
                <w:szCs w:val="28"/>
              </w:rPr>
              <w:t xml:space="preserve">за профилактику коррупционных и иных правонарушений в Министерстве,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264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финансового и кадрового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50" w:type="pct"/>
            <w:vAlign w:val="top"/>
            <w:textDirection w:val="lrTb"/>
            <w:noWrap w:val="false"/>
          </w:tcPr>
          <w:p>
            <w:pPr>
              <w:pStyle w:val="706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ежегодно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7"/>
              </w:numPr>
              <w:ind w:left="734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63" w:type="pct"/>
            <w:vAlign w:val="top"/>
            <w:textDirection w:val="lrTb"/>
            <w:noWrap w:val="false"/>
          </w:tcPr>
          <w:p>
            <w:pPr>
              <w:pStyle w:val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лиц, впервые поступивших на государственную гражданскую службу Смоленской области</w:t>
            </w:r>
            <w:r>
              <w:rPr>
                <w:sz w:val="28"/>
                <w:szCs w:val="28"/>
              </w:rPr>
              <w:t xml:space="preserve">, замещающих должности, </w:t>
            </w:r>
            <w:r>
              <w:rPr>
                <w:sz w:val="28"/>
                <w:szCs w:val="28"/>
              </w:rPr>
              <w:t xml:space="preserve">связанные с соблюдением антикоррупционных стандартов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 мероприятиях по профессиональному развитию в области противодействия коррупции</w:t>
            </w:r>
            <w:r>
              <w:rPr>
                <w:sz w:val="28"/>
                <w:szCs w:val="28"/>
              </w:rPr>
            </w:r>
          </w:p>
        </w:tc>
        <w:tc>
          <w:tcPr>
            <w:tcW w:w="1264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финансового и кадрового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50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3" w:type="pct"/>
            <w:vAlign w:val="top"/>
            <w:textDirection w:val="lrTb"/>
            <w:noWrap w:val="false"/>
          </w:tcPr>
          <w:p>
            <w:pPr>
              <w:pStyle w:val="712"/>
              <w:numPr>
                <w:ilvl w:val="0"/>
                <w:numId w:val="7"/>
              </w:numPr>
              <w:ind w:left="734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763" w:type="pct"/>
            <w:vAlign w:val="top"/>
            <w:textDirection w:val="lrTb"/>
            <w:noWrap w:val="false"/>
          </w:tcPr>
          <w:p>
            <w:pPr>
              <w:pStyle w:val="7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государственных гражданских служащих Смоленской области, в должностные обязанности которых входит участие в проведении закупок товаров</w:t>
            </w:r>
            <w:r>
              <w:rPr>
                <w:sz w:val="28"/>
                <w:szCs w:val="28"/>
              </w:rPr>
              <w:t xml:space="preserve">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  <w:r>
              <w:rPr>
                <w:sz w:val="28"/>
                <w:szCs w:val="28"/>
              </w:rPr>
            </w:r>
          </w:p>
        </w:tc>
        <w:tc>
          <w:tcPr>
            <w:tcW w:w="1264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финансового и кадрового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ind w:firstLine="0"/>
              <w:widowControl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50" w:type="pct"/>
            <w:vAlign w:val="top"/>
            <w:textDirection w:val="lrTb"/>
            <w:noWrap w:val="false"/>
          </w:tcPr>
          <w:p>
            <w:pPr>
              <w:pStyle w:val="712"/>
              <w:ind w:firstLine="0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712"/>
        <w:ind w:firstLine="0"/>
        <w:jc w:val="center"/>
        <w:widowControl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6"/>
      </w:pPr>
      <w:r/>
      <w:r/>
    </w:p>
    <w:p>
      <w:pPr>
        <w:pStyle w:val="706"/>
      </w:pPr>
      <w:r/>
      <w:r/>
    </w:p>
    <w:p>
      <w:pPr>
        <w:pStyle w:val="706"/>
        <w:jc w:val="both"/>
      </w:pPr>
      <w:r/>
      <w:r/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1134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rPr>
        <w:rStyle w:val="714"/>
      </w:rPr>
      <w:framePr w:wrap="around" w:vAnchor="text" w:hAnchor="margin" w:xAlign="center" w:y="1"/>
    </w:pPr>
    <w:r>
      <w:rPr>
        <w:rStyle w:val="714"/>
      </w:rPr>
      <w:fldChar w:fldCharType="begin"/>
    </w:r>
    <w:r>
      <w:rPr>
        <w:rStyle w:val="714"/>
      </w:rPr>
      <w:instrText xml:space="preserve">PAGE  </w:instrText>
    </w:r>
    <w:r>
      <w:rPr>
        <w:rStyle w:val="714"/>
      </w:rPr>
      <w:fldChar w:fldCharType="separate"/>
    </w:r>
    <w:r>
      <w:rPr>
        <w:rStyle w:val="714"/>
      </w:rPr>
      <w:t xml:space="preserve">6</w:t>
    </w:r>
    <w:r>
      <w:rPr>
        <w:rStyle w:val="714"/>
      </w:rPr>
      <w:fldChar w:fldCharType="end"/>
    </w:r>
    <w:r>
      <w:rPr>
        <w:rStyle w:val="714"/>
      </w:rPr>
    </w:r>
    <w:r>
      <w:rPr>
        <w:rStyle w:val="714"/>
      </w:rPr>
    </w:r>
  </w:p>
  <w:p>
    <w:pPr>
      <w:pStyle w:val="7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rPr>
        <w:rStyle w:val="714"/>
      </w:rPr>
      <w:framePr w:wrap="around" w:vAnchor="text" w:hAnchor="margin" w:xAlign="center" w:y="1"/>
    </w:pPr>
    <w:r>
      <w:rPr>
        <w:rStyle w:val="714"/>
      </w:rPr>
      <w:fldChar w:fldCharType="begin"/>
    </w:r>
    <w:r>
      <w:rPr>
        <w:rStyle w:val="714"/>
      </w:rPr>
      <w:instrText xml:space="preserve">PAGE  </w:instrText>
    </w:r>
    <w:r>
      <w:rPr>
        <w:rStyle w:val="714"/>
      </w:rPr>
      <w:fldChar w:fldCharType="end"/>
    </w:r>
    <w:r>
      <w:rPr>
        <w:rStyle w:val="714"/>
      </w:rPr>
    </w:r>
    <w:r>
      <w:rPr>
        <w:rStyle w:val="714"/>
      </w:rPr>
    </w:r>
  </w:p>
  <w:p>
    <w:pPr>
      <w:pStyle w:val="7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1050"/>
        <w:tabs>
          <w:tab w:val="num" w:pos="17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6"/>
    <w:next w:val="70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6"/>
    <w:next w:val="70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6"/>
    <w:next w:val="70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6"/>
    <w:next w:val="70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6"/>
    <w:next w:val="70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6"/>
    <w:next w:val="70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6"/>
    <w:next w:val="70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6"/>
    <w:next w:val="70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6"/>
    <w:next w:val="70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6"/>
    <w:next w:val="70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06"/>
    <w:next w:val="70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06"/>
    <w:next w:val="70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6"/>
    <w:next w:val="70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0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06"/>
    <w:next w:val="70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0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06"/>
    <w:next w:val="70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6"/>
    <w:next w:val="70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6"/>
    <w:next w:val="70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6"/>
    <w:next w:val="70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6"/>
    <w:next w:val="70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6"/>
    <w:next w:val="70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6"/>
    <w:next w:val="70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6"/>
    <w:next w:val="70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6"/>
    <w:next w:val="70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6"/>
    <w:next w:val="706"/>
    <w:uiPriority w:val="99"/>
    <w:unhideWhenUsed/>
    <w:pPr>
      <w:spacing w:after="0" w:afterAutospacing="0"/>
    </w:pPr>
  </w:style>
  <w:style w:type="paragraph" w:styleId="706" w:default="1">
    <w:name w:val="Normal"/>
    <w:next w:val="706"/>
    <w:link w:val="706"/>
    <w:qFormat/>
    <w:rPr>
      <w:sz w:val="24"/>
      <w:szCs w:val="24"/>
      <w:lang w:val="ru-RU" w:eastAsia="ru-RU" w:bidi="ar-SA"/>
    </w:rPr>
  </w:style>
  <w:style w:type="paragraph" w:styleId="707">
    <w:name w:val="Заголовок 1"/>
    <w:basedOn w:val="706"/>
    <w:next w:val="706"/>
    <w:link w:val="720"/>
    <w:qFormat/>
    <w:pPr>
      <w:jc w:val="both"/>
      <w:keepNext/>
      <w:outlineLvl w:val="0"/>
    </w:pPr>
    <w:rPr>
      <w:b/>
      <w:sz w:val="28"/>
      <w:szCs w:val="20"/>
    </w:rPr>
  </w:style>
  <w:style w:type="character" w:styleId="708">
    <w:name w:val="Основной шрифт абзаца"/>
    <w:next w:val="708"/>
    <w:link w:val="706"/>
    <w:semiHidden/>
  </w:style>
  <w:style w:type="table" w:styleId="709">
    <w:name w:val="Обычная таблица"/>
    <w:next w:val="709"/>
    <w:link w:val="706"/>
    <w:semiHidden/>
    <w:tblPr/>
  </w:style>
  <w:style w:type="numbering" w:styleId="710">
    <w:name w:val="Нет списка"/>
    <w:next w:val="710"/>
    <w:link w:val="706"/>
    <w:semiHidden/>
  </w:style>
  <w:style w:type="table" w:styleId="711">
    <w:name w:val="Сетка таблицы"/>
    <w:basedOn w:val="709"/>
    <w:next w:val="711"/>
    <w:link w:val="706"/>
    <w:tblPr/>
  </w:style>
  <w:style w:type="paragraph" w:styleId="712">
    <w:name w:val="ConsPlusNormal"/>
    <w:next w:val="712"/>
    <w:link w:val="70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713">
    <w:name w:val="Верхний колонтитул"/>
    <w:basedOn w:val="706"/>
    <w:next w:val="713"/>
    <w:link w:val="722"/>
    <w:pPr>
      <w:tabs>
        <w:tab w:val="center" w:pos="4677" w:leader="none"/>
        <w:tab w:val="right" w:pos="9355" w:leader="none"/>
      </w:tabs>
    </w:pPr>
  </w:style>
  <w:style w:type="character" w:styleId="714">
    <w:name w:val="Номер страницы"/>
    <w:basedOn w:val="708"/>
    <w:next w:val="714"/>
    <w:link w:val="706"/>
  </w:style>
  <w:style w:type="paragraph" w:styleId="715">
    <w:name w:val="ConsPlusTitle"/>
    <w:next w:val="715"/>
    <w:link w:val="706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716">
    <w:name w:val="Текст выноски"/>
    <w:basedOn w:val="706"/>
    <w:next w:val="716"/>
    <w:link w:val="706"/>
    <w:semiHidden/>
    <w:rPr>
      <w:rFonts w:ascii="Tahoma" w:hAnsi="Tahoma" w:cs="Tahoma"/>
      <w:sz w:val="16"/>
      <w:szCs w:val="16"/>
    </w:rPr>
  </w:style>
  <w:style w:type="paragraph" w:styleId="717">
    <w:name w:val="Нижний колонтитул"/>
    <w:basedOn w:val="706"/>
    <w:next w:val="717"/>
    <w:link w:val="706"/>
    <w:pPr>
      <w:tabs>
        <w:tab w:val="center" w:pos="4677" w:leader="none"/>
        <w:tab w:val="right" w:pos="9355" w:leader="none"/>
      </w:tabs>
    </w:pPr>
  </w:style>
  <w:style w:type="paragraph" w:styleId="718">
    <w:name w:val="Char Char Знак Знак1 Char Char1 Знак Знак Char Char"/>
    <w:basedOn w:val="706"/>
    <w:next w:val="718"/>
    <w:link w:val="706"/>
    <w:uiPriority w:val="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719">
    <w:name w:val="rvts706641"/>
    <w:next w:val="719"/>
    <w:link w:val="706"/>
    <w:rPr>
      <w:rFonts w:ascii="Arial" w:hAnsi="Arial" w:cs="Arial"/>
      <w:b/>
      <w:bCs/>
      <w:color w:val="000000"/>
      <w:sz w:val="18"/>
      <w:szCs w:val="18"/>
      <w:u w:val="none"/>
    </w:rPr>
  </w:style>
  <w:style w:type="character" w:styleId="720">
    <w:name w:val="Заголовок 1 Знак"/>
    <w:next w:val="720"/>
    <w:link w:val="707"/>
    <w:rPr>
      <w:b/>
      <w:sz w:val="28"/>
    </w:rPr>
  </w:style>
  <w:style w:type="paragraph" w:styleId="721">
    <w:name w:val="ConsNormal"/>
    <w:next w:val="721"/>
    <w:link w:val="706"/>
    <w:pPr>
      <w:ind w:firstLine="720"/>
      <w:widowControl w:val="off"/>
    </w:pPr>
    <w:rPr>
      <w:rFonts w:ascii="Arial" w:hAnsi="Arial"/>
      <w:lang w:val="ru-RU" w:eastAsia="ru-RU" w:bidi="ar-SA"/>
    </w:rPr>
  </w:style>
  <w:style w:type="character" w:styleId="722">
    <w:name w:val="Верхний колонтитул Знак"/>
    <w:next w:val="722"/>
    <w:link w:val="713"/>
    <w:rPr>
      <w:sz w:val="24"/>
      <w:szCs w:val="24"/>
    </w:rPr>
  </w:style>
  <w:style w:type="character" w:styleId="2110" w:default="1">
    <w:name w:val="Default Paragraph Font"/>
    <w:uiPriority w:val="1"/>
    <w:semiHidden/>
    <w:unhideWhenUsed/>
  </w:style>
  <w:style w:type="numbering" w:styleId="2111" w:default="1">
    <w:name w:val="No List"/>
    <w:uiPriority w:val="99"/>
    <w:semiHidden/>
    <w:unhideWhenUsed/>
  </w:style>
  <w:style w:type="table" w:styleId="21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противодействия коррупции в Главном управлении информационных технологий и связи Смоленской области</dc:title>
  <dc:creator>GUIT</dc:creator>
  <cp:lastModifiedBy>fedorova_yv</cp:lastModifiedBy>
  <cp:revision>11</cp:revision>
  <dcterms:created xsi:type="dcterms:W3CDTF">2025-02-19T12:00:00Z</dcterms:created>
  <dcterms:modified xsi:type="dcterms:W3CDTF">2026-05-18T09:35:39Z</dcterms:modified>
  <cp:version>983040</cp:version>
</cp:coreProperties>
</file>